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38" w:rsidRDefault="00AA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3D154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323D38" w:rsidRDefault="0045660D">
      <w:pPr>
        <w:ind w:left="0" w:hanging="2"/>
        <w:jc w:val="center"/>
        <w:rPr>
          <w:rFonts w:ascii="Colonna MT" w:eastAsia="Colonna MT" w:hAnsi="Colonna MT" w:cs="Colonna MT"/>
          <w:color w:val="00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1714500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3D38" w:rsidRDefault="0045660D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i/>
          <w:color w:val="0000FF"/>
        </w:rPr>
        <w:t>S</w:t>
      </w:r>
      <w:r>
        <w:rPr>
          <w:rFonts w:ascii="Book Antiqua" w:eastAsia="Book Antiqua" w:hAnsi="Book Antiqua" w:cs="Book Antiqua"/>
          <w:i/>
          <w:color w:val="0000FF"/>
        </w:rPr>
        <w:t xml:space="preserve">indacato </w:t>
      </w:r>
      <w:r>
        <w:rPr>
          <w:rFonts w:ascii="Book Antiqua" w:eastAsia="Book Antiqua" w:hAnsi="Book Antiqua" w:cs="Book Antiqua"/>
          <w:b/>
          <w:i/>
          <w:color w:val="0000FF"/>
        </w:rPr>
        <w:t>A</w:t>
      </w:r>
      <w:r>
        <w:rPr>
          <w:rFonts w:ascii="Book Antiqua" w:eastAsia="Book Antiqua" w:hAnsi="Book Antiqua" w:cs="Book Antiqua"/>
          <w:i/>
          <w:color w:val="0000FF"/>
        </w:rPr>
        <w:t xml:space="preserve">utonomo </w:t>
      </w:r>
      <w:r>
        <w:rPr>
          <w:rFonts w:ascii="Book Antiqua" w:eastAsia="Book Antiqua" w:hAnsi="Book Antiqua" w:cs="Book Antiqua"/>
          <w:b/>
          <w:i/>
          <w:color w:val="0000FF"/>
        </w:rPr>
        <w:t>L</w:t>
      </w:r>
      <w:r>
        <w:rPr>
          <w:rFonts w:ascii="Book Antiqua" w:eastAsia="Book Antiqua" w:hAnsi="Book Antiqua" w:cs="Book Antiqua"/>
          <w:i/>
          <w:color w:val="0000FF"/>
        </w:rPr>
        <w:t xml:space="preserve">avoratori della </w:t>
      </w:r>
      <w:r>
        <w:rPr>
          <w:rFonts w:ascii="Book Antiqua" w:eastAsia="Book Antiqua" w:hAnsi="Book Antiqua" w:cs="Book Antiqua"/>
          <w:b/>
          <w:i/>
          <w:color w:val="0000FF"/>
        </w:rPr>
        <w:t>Scuola</w:t>
      </w:r>
    </w:p>
    <w:p w:rsidR="00323D38" w:rsidRDefault="0045660D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Gli Uffici della Sede provinciale di Cremona - v.le Trento Trieste 20 - sono aperti al pubblico</w:t>
      </w:r>
    </w:p>
    <w:p w:rsidR="00323D38" w:rsidRDefault="0045660D">
      <w:pPr>
        <w:numPr>
          <w:ilvl w:val="0"/>
          <w:numId w:val="3"/>
        </w:numPr>
        <w:ind w:left="0" w:hanging="2"/>
        <w:jc w:val="both"/>
        <w:rPr>
          <w:rFonts w:ascii="Noto Sans Symbols" w:eastAsia="Noto Sans Symbols" w:hAnsi="Noto Sans Symbols" w:cs="Noto Sans Symbols"/>
        </w:rPr>
      </w:pPr>
      <w:r>
        <w:rPr>
          <w:rFonts w:ascii="Book Antiqua" w:eastAsia="Book Antiqua" w:hAnsi="Book Antiqua" w:cs="Book Antiqua"/>
        </w:rPr>
        <w:t>Martedì 15 – 17.30</w:t>
      </w:r>
    </w:p>
    <w:p w:rsidR="00323D38" w:rsidRDefault="0045660D">
      <w:pPr>
        <w:numPr>
          <w:ilvl w:val="0"/>
          <w:numId w:val="3"/>
        </w:numPr>
        <w:ind w:left="0" w:hanging="2"/>
        <w:jc w:val="both"/>
        <w:rPr>
          <w:rFonts w:ascii="Noto Sans Symbols" w:eastAsia="Noto Sans Symbols" w:hAnsi="Noto Sans Symbols" w:cs="Noto Sans Symbols"/>
        </w:rPr>
      </w:pPr>
      <w:r>
        <w:rPr>
          <w:rFonts w:ascii="Book Antiqua" w:eastAsia="Book Antiqua" w:hAnsi="Book Antiqua" w:cs="Book Antiqua"/>
        </w:rPr>
        <w:t>Giovedì 15 – 17.30</w:t>
      </w:r>
    </w:p>
    <w:p w:rsidR="00323D38" w:rsidRDefault="0045660D">
      <w:pPr>
        <w:numPr>
          <w:ilvl w:val="0"/>
          <w:numId w:val="3"/>
        </w:numPr>
        <w:ind w:left="0" w:hanging="2"/>
        <w:jc w:val="both"/>
        <w:rPr>
          <w:rFonts w:ascii="Noto Sans Symbols" w:eastAsia="Noto Sans Symbols" w:hAnsi="Noto Sans Symbols" w:cs="Noto Sans Symbols"/>
        </w:rPr>
      </w:pPr>
      <w:r>
        <w:rPr>
          <w:rFonts w:ascii="Book Antiqua" w:eastAsia="Book Antiqua" w:hAnsi="Book Antiqua" w:cs="Book Antiqua"/>
        </w:rPr>
        <w:t>Venerdì 9 - 12</w:t>
      </w:r>
    </w:p>
    <w:p w:rsidR="00323D38" w:rsidRDefault="0045660D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Contatti:</w:t>
      </w:r>
    </w:p>
    <w:p w:rsidR="00323D38" w:rsidRDefault="00AA21B8">
      <w:pPr>
        <w:numPr>
          <w:ilvl w:val="0"/>
          <w:numId w:val="3"/>
        </w:numPr>
        <w:ind w:left="0" w:hanging="2"/>
        <w:jc w:val="both"/>
        <w:rPr>
          <w:color w:val="0000FF"/>
        </w:rPr>
      </w:pPr>
      <w:hyperlink r:id="rId9">
        <w:r w:rsidR="0045660D">
          <w:rPr>
            <w:rFonts w:ascii="Book Antiqua" w:eastAsia="Book Antiqua" w:hAnsi="Book Antiqua" w:cs="Book Antiqua"/>
            <w:color w:val="0000FF"/>
            <w:u w:val="single"/>
          </w:rPr>
          <w:t>lombardia.cr@intersnals.it</w:t>
        </w:r>
      </w:hyperlink>
    </w:p>
    <w:p w:rsidR="00323D38" w:rsidRDefault="00AA21B8">
      <w:pPr>
        <w:numPr>
          <w:ilvl w:val="0"/>
          <w:numId w:val="3"/>
        </w:numPr>
        <w:ind w:left="0" w:hanging="2"/>
        <w:jc w:val="both"/>
        <w:rPr>
          <w:color w:val="0000FF"/>
        </w:rPr>
      </w:pPr>
      <w:hyperlink r:id="rId10">
        <w:r w:rsidR="0045660D">
          <w:rPr>
            <w:rFonts w:ascii="Book Antiqua" w:eastAsia="Book Antiqua" w:hAnsi="Book Antiqua" w:cs="Book Antiqua"/>
            <w:color w:val="0000FF"/>
            <w:u w:val="single"/>
          </w:rPr>
          <w:t>0372 413029</w:t>
        </w:r>
      </w:hyperlink>
      <w:r w:rsidR="0045660D">
        <w:rPr>
          <w:rFonts w:ascii="Book Antiqua" w:eastAsia="Book Antiqua" w:hAnsi="Book Antiqua" w:cs="Book Antiqua"/>
        </w:rPr>
        <w:t xml:space="preserve"> uffici</w:t>
      </w:r>
    </w:p>
    <w:p w:rsidR="00323D38" w:rsidRDefault="00323D38">
      <w:pPr>
        <w:keepNext/>
        <w:keepLines/>
        <w:numPr>
          <w:ilvl w:val="7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2" w:hanging="4"/>
        <w:rPr>
          <w:rFonts w:ascii="Arial" w:eastAsia="Arial" w:hAnsi="Arial" w:cs="Arial"/>
          <w:b/>
          <w:sz w:val="40"/>
          <w:szCs w:val="40"/>
        </w:rPr>
      </w:pPr>
    </w:p>
    <w:p w:rsidR="00323D38" w:rsidRDefault="0045660D">
      <w:pPr>
        <w:keepNext/>
        <w:keepLines/>
        <w:numPr>
          <w:ilvl w:val="7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Alla RSU</w:t>
      </w:r>
    </w:p>
    <w:p w:rsidR="00323D38" w:rsidRDefault="0045660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All’Albo sindacale</w:t>
      </w:r>
    </w:p>
    <w:p w:rsidR="00323D38" w:rsidRDefault="0045660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e, p.c.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Ai Dirigenti Scolastici</w:t>
      </w:r>
    </w:p>
    <w:p w:rsidR="00323D38" w:rsidRDefault="0045660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>Ai DSGA</w:t>
      </w:r>
    </w:p>
    <w:p w:rsidR="00323D38" w:rsidRDefault="00323D38">
      <w:pPr>
        <w:keepNext/>
        <w:keepLines/>
        <w:spacing w:after="60"/>
        <w:ind w:left="0" w:hanging="2"/>
        <w:jc w:val="center"/>
        <w:rPr>
          <w:rFonts w:ascii="Arial" w:eastAsia="Arial" w:hAnsi="Arial" w:cs="Arial"/>
          <w:b/>
        </w:rPr>
      </w:pPr>
    </w:p>
    <w:p w:rsidR="003374C8" w:rsidRDefault="003374C8" w:rsidP="003374C8">
      <w:pPr>
        <w:pStyle w:val="Titolo"/>
        <w:keepNext/>
        <w:keepLines/>
        <w:spacing w:before="0"/>
        <w:ind w:left="0" w:hanging="2"/>
        <w:rPr>
          <w:position w:val="0"/>
          <w:sz w:val="20"/>
        </w:rPr>
      </w:pPr>
    </w:p>
    <w:p w:rsidR="003374C8" w:rsidRDefault="003374C8" w:rsidP="003374C8">
      <w:pPr>
        <w:ind w:left="0" w:hanging="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decreto sui precari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6943"/>
      </w:tblGrid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Fonte normativa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Decreto legge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29 ottobre 2019, n. 126 “Misure di straordinaria necessità ed urgenza in materia di reclutamento del personale scolastico e degli enti di ricerca e di abilitazione dei docenti”.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Pubblicato in G.U. n. 255 del 30.10.2019.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vigore dal 31 ottobre 2019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Il concorso straordinario per la scuola secondaria</w:t>
            </w:r>
          </w:p>
          <w:p w:rsidR="003374C8" w:rsidRDefault="003374C8">
            <w:pPr>
              <w:spacing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 per 24 mila posti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Sarà bandito per le regioni, classi di concorso e tipologie di posti per i quali si prevede che vi siano posti vacanti e disponibili per il triennio dal 2020/21 al 2022/23.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graduatoria di merito potrà essere utilizzata per le immissioni in ruolo anche dopo il 2022/23, fino all’esaurimento della graduatoria dei 24.000 vincitori.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I requisiti di accesso al concorso straordinario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requisiti richiesti sono: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in possesso del titolo di studio valido per la classe di concorso richiesta, come da normativa vigente;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 svolto, tra il 2011/2012 e il 2018/19, almeno tre anni di servizio, anche non consecutivo, nelle scuole secondaria </w:t>
            </w:r>
            <w:r>
              <w:rPr>
                <w:rFonts w:ascii="Arial" w:hAnsi="Arial" w:cs="Arial"/>
                <w:i/>
                <w:iCs/>
                <w:sz w:val="20"/>
              </w:rPr>
              <w:t>statali</w:t>
            </w:r>
            <w:r>
              <w:rPr>
                <w:rFonts w:ascii="Arial" w:hAnsi="Arial" w:cs="Arial"/>
                <w:sz w:val="20"/>
              </w:rPr>
              <w:t>, su posto comune o su sostegno, di cui almeno uno nella classe di concorso o nella tipologia di posto per la quale si concorre;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la partecipazione ai posti di sostegno, essere in possesso della relativa specializzazione.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La partecipazione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Ciascun soggetto può partecipare in una sola regione e per una sola procedura (sostegno o posto comune).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consentita la partecipazione sia al concorso straordinario sia al concorso ordinario, anche per la medesima classe di concorso e tipologia di posto.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Le prove del concorso straordinario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procedura prevede: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svolgimento di una prova scritta, da svolgersi con sistema informatizzato, composta da quesiti a risposta multipla;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la prova si intende superata con il punteggio minimo di sette decimi;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formazione di una graduatoria dei vincitori con il punteggio riportato nella prova scritta più la valutazione dei titoli;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l’immissione in ruolo dei vincitori nel limite dei posti autorizzati annualmente con ammissione al periodo di formazione e prova;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conseguimento dei 24 CFU, se non posseduti, con oneri a carico dello Stato;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l’integrazione del periodo di formazione e prova con una prova orale, da superarsi con il punteggio di almeno 7/10, da sostenere con il comitato di valutazione dell’istituzione scolastica integrato da un membro esterno;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conseguimento dell’abilitazione all’atto della conferma in ruolo.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lastRenderedPageBreak/>
              <w:t>Il conseguimento dell’abilitazione per gli idonei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soggetti che, avendo conseguito il punteggio minimo di 7/10 nella prova scritta non rientrano nel contingente dei 24.000, possono conseguire l’abilitazione purché: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abbiano in essere un contratto di docenza a tempo determinato fino al 31.8 o fino al termine delle attività didattiche presso una istituzione scolastica o educativa del sistema nazionale di istruzione;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conseguano i 24 CFU, se non posseduti, senza oneri per lo Stato;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superino la prova orale.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I docenti con servizio alle paritarie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Alla procedura concorsuale sono ammessi a partecipare, unicamente ai fini dell’abilitazione all’insegnamento, i docenti in possesso dei seguenti requisiti: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in possesso del titolo di studio valido per la classe di concorso richiesta, come da normativa vigente;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 svolto, tra il 2011/2012 e il 2018/19, almeno tre anni di servizio, anche non consecutivo, nelle scuole </w:t>
            </w:r>
            <w:r>
              <w:rPr>
                <w:rFonts w:ascii="Arial" w:hAnsi="Arial" w:cs="Arial"/>
                <w:i/>
                <w:iCs/>
                <w:sz w:val="20"/>
              </w:rPr>
              <w:t>paritarie</w:t>
            </w:r>
            <w:r>
              <w:rPr>
                <w:rFonts w:ascii="Arial" w:hAnsi="Arial" w:cs="Arial"/>
                <w:sz w:val="20"/>
              </w:rPr>
              <w:t>, su posto comune o su sostegno, di cui almeno uno nella classe di concorso o nella tipologia di posto per la quale si concorre;</w:t>
            </w:r>
          </w:p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la partecipazione ai posti di sostegno, essere in possesso della relativa specializzazione.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Concorso DSGA riservato agli assistenti amministrativi facenti funzione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concorso è riservato agli assistenti amministrativi di ruolo che abbiano svolto a tempo pieno le funzioni di DSGA per almeno tre interi anni scolastici a decorrere dal 2011/12, purché in possesso della prescritta laurea specifica.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Rilevazioni biometriche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personale degli istituti scolastici </w:t>
            </w:r>
            <w:proofErr w:type="gramStart"/>
            <w:r>
              <w:rPr>
                <w:rFonts w:ascii="Arial" w:hAnsi="Arial" w:cs="Arial"/>
                <w:sz w:val="20"/>
              </w:rPr>
              <w:t>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educativi di ogni ordine e grado, nonché i dirigenti scolastici, sono esclusi dalle rilevazioni biometriche delle presenze.</w:t>
            </w:r>
          </w:p>
        </w:tc>
      </w:tr>
      <w:tr w:rsidR="003374C8" w:rsidTr="003374C8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C8" w:rsidRDefault="003374C8">
            <w:pPr>
              <w:spacing w:before="120" w:after="120"/>
              <w:ind w:left="0" w:hanging="2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La valorizzazione del merito dei docenti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C8" w:rsidRDefault="003374C8" w:rsidP="003374C8">
            <w:pPr>
              <w:numPr>
                <w:ilvl w:val="0"/>
                <w:numId w:val="12"/>
              </w:numPr>
              <w:spacing w:before="120"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bonus per la valorizzazione del merito dei docenti viene esteso anche ai docenti a tempo determinato.</w:t>
            </w:r>
          </w:p>
        </w:tc>
      </w:tr>
    </w:tbl>
    <w:p w:rsidR="00323D38" w:rsidRDefault="00323D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sectPr w:rsidR="00323D38">
      <w:footerReference w:type="default" r:id="rId11"/>
      <w:pgSz w:w="11906" w:h="16838"/>
      <w:pgMar w:top="56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B8" w:rsidRDefault="00AA21B8">
      <w:pPr>
        <w:spacing w:line="240" w:lineRule="auto"/>
        <w:ind w:left="0" w:hanging="2"/>
      </w:pPr>
      <w:r>
        <w:separator/>
      </w:r>
    </w:p>
  </w:endnote>
  <w:endnote w:type="continuationSeparator" w:id="0">
    <w:p w:rsidR="00AA21B8" w:rsidRDefault="00AA21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D38" w:rsidRDefault="0045660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  <w:sz w:val="20"/>
        <w:szCs w:val="20"/>
      </w:rPr>
      <w:tab/>
      <w:t>Da esporre all’albo della scuola ai sensi dell’art. 49 della Legge n. 249/1968</w:t>
    </w:r>
    <w:r>
      <w:rPr>
        <w:color w:val="000000"/>
        <w:sz w:val="20"/>
        <w:szCs w:val="20"/>
      </w:rPr>
      <w:tab/>
      <w:t xml:space="preserve">Pagina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74C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di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3374C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B8" w:rsidRDefault="00AA21B8">
      <w:pPr>
        <w:spacing w:line="240" w:lineRule="auto"/>
        <w:ind w:left="0" w:hanging="2"/>
      </w:pPr>
      <w:r>
        <w:separator/>
      </w:r>
    </w:p>
  </w:footnote>
  <w:footnote w:type="continuationSeparator" w:id="0">
    <w:p w:rsidR="00AA21B8" w:rsidRDefault="00AA21B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332"/>
    <w:multiLevelType w:val="multilevel"/>
    <w:tmpl w:val="4122FF6C"/>
    <w:lvl w:ilvl="0">
      <w:start w:val="1"/>
      <w:numFmt w:val="decimal"/>
      <w:pStyle w:val="Numeroelenc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BA148A"/>
    <w:multiLevelType w:val="hybridMultilevel"/>
    <w:tmpl w:val="4F8C1004"/>
    <w:lvl w:ilvl="0" w:tplc="E42E70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42E7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1256"/>
    <w:multiLevelType w:val="multilevel"/>
    <w:tmpl w:val="3EBAB2BA"/>
    <w:lvl w:ilvl="0">
      <w:start w:val="1"/>
      <w:numFmt w:val="decimal"/>
      <w:pStyle w:val="Numeroelenco4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20D8319A"/>
    <w:multiLevelType w:val="multilevel"/>
    <w:tmpl w:val="1674AC9A"/>
    <w:lvl w:ilvl="0">
      <w:start w:val="1"/>
      <w:numFmt w:val="bullet"/>
      <w:pStyle w:val="Tito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E072624"/>
    <w:multiLevelType w:val="multilevel"/>
    <w:tmpl w:val="FD2647DC"/>
    <w:lvl w:ilvl="0">
      <w:start w:val="1"/>
      <w:numFmt w:val="decimal"/>
      <w:pStyle w:val="Numeroelenco5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8"/>
    <w:rsid w:val="00323D38"/>
    <w:rsid w:val="003374C8"/>
    <w:rsid w:val="0045660D"/>
    <w:rsid w:val="00A47AA9"/>
    <w:rsid w:val="00A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2A3D84-F54A-4DE4-B8AD-9ABFFDA5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0" w:right="1416" w:firstLine="0"/>
      <w:jc w:val="center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rFonts w:ascii="Verdana" w:hAnsi="Verdana"/>
      <w:b/>
      <w:bCs/>
      <w:i/>
      <w:iCs/>
      <w:sz w:val="22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0" w:right="1416" w:firstLine="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tabs>
        <w:tab w:val="left" w:pos="5103"/>
      </w:tabs>
      <w:ind w:left="3686" w:firstLine="0"/>
      <w:outlineLvl w:val="7"/>
    </w:pPr>
    <w:rPr>
      <w:b/>
      <w:bCs/>
      <w:sz w:val="36"/>
      <w:szCs w:val="36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Verdana" w:hAnsi="Verdana"/>
      <w:sz w:val="20"/>
    </w:rPr>
  </w:style>
  <w:style w:type="paragraph" w:styleId="Elenco">
    <w:name w:val="List"/>
    <w:basedOn w:val="Normale"/>
    <w:pPr>
      <w:ind w:left="283" w:hanging="283"/>
    </w:pPr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ata1">
    <w:name w:val="Data1"/>
    <w:basedOn w:val="Normale"/>
    <w:next w:val="Normale"/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Elenco41">
    <w:name w:val="Elenco 41"/>
    <w:basedOn w:val="Normale"/>
    <w:pPr>
      <w:ind w:left="1132" w:hanging="283"/>
    </w:pPr>
  </w:style>
  <w:style w:type="paragraph" w:customStyle="1" w:styleId="Elenco51">
    <w:name w:val="Elenco 51"/>
    <w:basedOn w:val="Normale"/>
    <w:pPr>
      <w:ind w:left="1415" w:hanging="283"/>
    </w:pPr>
  </w:style>
  <w:style w:type="paragraph" w:customStyle="1" w:styleId="Elencocontinua1">
    <w:name w:val="Elenco continua1"/>
    <w:basedOn w:val="Normale"/>
    <w:pPr>
      <w:spacing w:after="120"/>
      <w:ind w:left="283" w:firstLine="0"/>
    </w:pPr>
  </w:style>
  <w:style w:type="paragraph" w:customStyle="1" w:styleId="Elencocontinua21">
    <w:name w:val="Elenco continua 21"/>
    <w:basedOn w:val="Normale"/>
    <w:pPr>
      <w:spacing w:after="120"/>
      <w:ind w:left="566" w:firstLine="0"/>
    </w:pPr>
  </w:style>
  <w:style w:type="paragraph" w:customStyle="1" w:styleId="Elencocontinua31">
    <w:name w:val="Elenco continua 31"/>
    <w:basedOn w:val="Normale"/>
    <w:pPr>
      <w:spacing w:after="120"/>
      <w:ind w:left="849" w:firstLine="0"/>
    </w:pPr>
  </w:style>
  <w:style w:type="paragraph" w:customStyle="1" w:styleId="Elencocontinua41">
    <w:name w:val="Elenco continua 41"/>
    <w:basedOn w:val="Normale"/>
    <w:pPr>
      <w:spacing w:after="120"/>
      <w:ind w:left="1132" w:firstLine="0"/>
    </w:pPr>
  </w:style>
  <w:style w:type="paragraph" w:customStyle="1" w:styleId="Elencocontinua51">
    <w:name w:val="Elenco continua 51"/>
    <w:basedOn w:val="Normale"/>
    <w:pPr>
      <w:spacing w:after="120"/>
      <w:ind w:left="1415" w:firstLine="0"/>
    </w:pPr>
  </w:style>
  <w:style w:type="paragraph" w:styleId="Firma">
    <w:name w:val="Signature"/>
    <w:basedOn w:val="Normale"/>
    <w:pPr>
      <w:ind w:left="4252" w:firstLine="0"/>
    </w:pPr>
  </w:style>
  <w:style w:type="paragraph" w:styleId="Firmadipostaelettronica">
    <w:name w:val="E-mail Signature"/>
    <w:basedOn w:val="Normale"/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  <w:pPr>
      <w:ind w:left="4252" w:firstLine="0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Indice2">
    <w:name w:val="index 2"/>
    <w:basedOn w:val="Normale"/>
    <w:next w:val="Normale"/>
    <w:pPr>
      <w:ind w:left="480" w:hanging="240"/>
    </w:pPr>
  </w:style>
  <w:style w:type="paragraph" w:styleId="Indice3">
    <w:name w:val="index 3"/>
    <w:basedOn w:val="Normale"/>
    <w:next w:val="Normale"/>
    <w:pPr>
      <w:ind w:left="720" w:hanging="240"/>
    </w:pPr>
  </w:style>
  <w:style w:type="paragraph" w:styleId="Sommario4">
    <w:name w:val="toc 4"/>
    <w:basedOn w:val="Normale"/>
    <w:next w:val="Normale"/>
    <w:pPr>
      <w:ind w:left="960" w:hanging="240"/>
    </w:pPr>
  </w:style>
  <w:style w:type="paragraph" w:styleId="Sommario5">
    <w:name w:val="toc 5"/>
    <w:basedOn w:val="Normale"/>
    <w:next w:val="Normale"/>
    <w:pPr>
      <w:ind w:left="1200" w:hanging="240"/>
    </w:pPr>
  </w:style>
  <w:style w:type="paragraph" w:styleId="Sommario6">
    <w:name w:val="toc 6"/>
    <w:basedOn w:val="Normale"/>
    <w:next w:val="Normale"/>
    <w:pPr>
      <w:ind w:left="1440" w:hanging="240"/>
    </w:pPr>
  </w:style>
  <w:style w:type="paragraph" w:styleId="Sommario7">
    <w:name w:val="toc 7"/>
    <w:basedOn w:val="Normale"/>
    <w:next w:val="Normale"/>
    <w:pPr>
      <w:ind w:left="1680" w:hanging="240"/>
    </w:pPr>
  </w:style>
  <w:style w:type="paragraph" w:styleId="Sommario8">
    <w:name w:val="toc 8"/>
    <w:basedOn w:val="Normale"/>
    <w:next w:val="Normale"/>
    <w:pPr>
      <w:ind w:left="1920" w:hanging="240"/>
    </w:pPr>
  </w:style>
  <w:style w:type="paragraph" w:styleId="Sommario9">
    <w:name w:val="toc 9"/>
    <w:basedOn w:val="Normale"/>
    <w:next w:val="Normale"/>
    <w:pPr>
      <w:ind w:left="2160" w:hanging="240"/>
    </w:pPr>
  </w:style>
  <w:style w:type="paragraph" w:customStyle="1" w:styleId="Indicedellefigure1">
    <w:name w:val="Indice delle figure1"/>
    <w:basedOn w:val="Normale"/>
    <w:next w:val="Normale"/>
    <w:pPr>
      <w:ind w:left="480" w:hanging="480"/>
    </w:pPr>
  </w:style>
  <w:style w:type="paragraph" w:customStyle="1" w:styleId="Indicefonti1">
    <w:name w:val="Indice fonti1"/>
    <w:basedOn w:val="Normale"/>
    <w:next w:val="Normale"/>
    <w:pPr>
      <w:ind w:left="240" w:hanging="240"/>
    </w:pPr>
  </w:style>
  <w:style w:type="paragraph" w:styleId="Indirizzodestinatario">
    <w:name w:val="envelope address"/>
    <w:basedOn w:val="Normale"/>
    <w:pPr>
      <w:ind w:left="2880" w:firstLine="0"/>
    </w:pPr>
    <w:rPr>
      <w:rFonts w:ascii="Arial" w:hAnsi="Arial" w:cs="Arial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Intestazionenota1">
    <w:name w:val="Intestazione nota1"/>
    <w:basedOn w:val="Normale"/>
    <w:next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</w:style>
  <w:style w:type="paragraph" w:customStyle="1" w:styleId="Numeroelenco1">
    <w:name w:val="Numero elenco1"/>
    <w:basedOn w:val="Normale"/>
    <w:pPr>
      <w:numPr>
        <w:numId w:val="4"/>
      </w:numPr>
      <w:ind w:left="-1" w:hanging="1"/>
    </w:pPr>
  </w:style>
  <w:style w:type="paragraph" w:customStyle="1" w:styleId="Numeroelenco21">
    <w:name w:val="Numero elenco 21"/>
    <w:basedOn w:val="Normale"/>
    <w:pPr>
      <w:tabs>
        <w:tab w:val="num" w:pos="720"/>
      </w:tabs>
    </w:pPr>
  </w:style>
  <w:style w:type="paragraph" w:customStyle="1" w:styleId="Numeroelenco31">
    <w:name w:val="Numero elenco 31"/>
    <w:basedOn w:val="Normale"/>
    <w:pPr>
      <w:tabs>
        <w:tab w:val="num" w:pos="720"/>
      </w:tabs>
    </w:pPr>
  </w:style>
  <w:style w:type="paragraph" w:customStyle="1" w:styleId="Numeroelenco41">
    <w:name w:val="Numero elenco 41"/>
    <w:basedOn w:val="Normale"/>
    <w:pPr>
      <w:numPr>
        <w:numId w:val="3"/>
      </w:numPr>
      <w:ind w:left="-1" w:hanging="1"/>
    </w:pPr>
  </w:style>
  <w:style w:type="paragraph" w:customStyle="1" w:styleId="Numeroelenco51">
    <w:name w:val="Numero elenco 51"/>
    <w:basedOn w:val="Normale"/>
    <w:pPr>
      <w:numPr>
        <w:numId w:val="2"/>
      </w:numPr>
      <w:ind w:left="-1" w:hanging="1"/>
    </w:p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customStyle="1" w:styleId="Primorientrocorpodeltesto1">
    <w:name w:val="Primo rientro corpo del testo1"/>
    <w:basedOn w:val="Corpotesto"/>
    <w:pPr>
      <w:spacing w:after="120"/>
      <w:ind w:left="0" w:firstLine="210"/>
      <w:jc w:val="left"/>
    </w:pPr>
    <w:rPr>
      <w:rFonts w:ascii="Times New Roman" w:hAnsi="Times New Roman"/>
      <w:sz w:val="24"/>
    </w:rPr>
  </w:style>
  <w:style w:type="paragraph" w:customStyle="1" w:styleId="Primorientrocorpodeltesto21">
    <w:name w:val="Primo rientro corpo del testo 21"/>
    <w:basedOn w:val="Rientrocorpodeltesto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untoelenco1">
    <w:name w:val="Punto elenco1"/>
    <w:basedOn w:val="Normale"/>
    <w:pPr>
      <w:tabs>
        <w:tab w:val="num" w:pos="720"/>
      </w:tabs>
    </w:pPr>
  </w:style>
  <w:style w:type="paragraph" w:customStyle="1" w:styleId="Puntoelenco21">
    <w:name w:val="Punto elenco 21"/>
    <w:basedOn w:val="Normale"/>
    <w:pPr>
      <w:tabs>
        <w:tab w:val="num" w:pos="720"/>
      </w:tabs>
    </w:pPr>
  </w:style>
  <w:style w:type="paragraph" w:customStyle="1" w:styleId="Puntoelenco31">
    <w:name w:val="Punto elenco 31"/>
    <w:basedOn w:val="Normale"/>
    <w:pPr>
      <w:tabs>
        <w:tab w:val="num" w:pos="720"/>
      </w:tabs>
    </w:pPr>
  </w:style>
  <w:style w:type="paragraph" w:customStyle="1" w:styleId="Puntoelenco41">
    <w:name w:val="Punto elenco 41"/>
    <w:basedOn w:val="Normale"/>
    <w:pPr>
      <w:tabs>
        <w:tab w:val="num" w:pos="720"/>
      </w:tabs>
    </w:pPr>
  </w:style>
  <w:style w:type="paragraph" w:customStyle="1" w:styleId="Puntoelenco51">
    <w:name w:val="Punto elenco 51"/>
    <w:basedOn w:val="Normale"/>
    <w:pPr>
      <w:tabs>
        <w:tab w:val="num" w:pos="720"/>
      </w:tabs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 w:firstLine="0"/>
    </w:pPr>
  </w:style>
  <w:style w:type="paragraph" w:customStyle="1" w:styleId="Rientrocorpodeltesto31">
    <w:name w:val="Rientro corpo del testo 31"/>
    <w:basedOn w:val="Normale"/>
    <w:pPr>
      <w:spacing w:after="120"/>
      <w:ind w:left="283" w:firstLine="0"/>
    </w:pPr>
    <w:rPr>
      <w:sz w:val="16"/>
      <w:szCs w:val="16"/>
    </w:rPr>
  </w:style>
  <w:style w:type="paragraph" w:customStyle="1" w:styleId="Rientronormale1">
    <w:name w:val="Rientro normale1"/>
    <w:basedOn w:val="Normale"/>
    <w:pPr>
      <w:ind w:left="708" w:firstLine="0"/>
    </w:p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40" w:firstLine="0"/>
    </w:pPr>
  </w:style>
  <w:style w:type="paragraph" w:styleId="Sommario3">
    <w:name w:val="toc 3"/>
    <w:basedOn w:val="Normale"/>
    <w:next w:val="Normale"/>
    <w:pPr>
      <w:ind w:left="480" w:firstLine="0"/>
    </w:pPr>
  </w:style>
  <w:style w:type="paragraph" w:customStyle="1" w:styleId="Sommario41">
    <w:name w:val="Sommario 41"/>
    <w:basedOn w:val="Normale"/>
    <w:next w:val="Normale"/>
    <w:pPr>
      <w:ind w:left="720" w:firstLine="0"/>
    </w:pPr>
  </w:style>
  <w:style w:type="paragraph" w:customStyle="1" w:styleId="Sommario51">
    <w:name w:val="Sommario 51"/>
    <w:basedOn w:val="Normale"/>
    <w:next w:val="Normale"/>
    <w:pPr>
      <w:ind w:left="960" w:firstLine="0"/>
    </w:pPr>
  </w:style>
  <w:style w:type="paragraph" w:customStyle="1" w:styleId="Sommario61">
    <w:name w:val="Sommario 61"/>
    <w:basedOn w:val="Normale"/>
    <w:next w:val="Normale"/>
    <w:pPr>
      <w:ind w:left="1200" w:firstLine="0"/>
    </w:pPr>
  </w:style>
  <w:style w:type="paragraph" w:customStyle="1" w:styleId="Sommario71">
    <w:name w:val="Sommario 71"/>
    <w:basedOn w:val="Normale"/>
    <w:next w:val="Normale"/>
    <w:pPr>
      <w:ind w:left="1440" w:firstLine="0"/>
    </w:pPr>
  </w:style>
  <w:style w:type="paragraph" w:customStyle="1" w:styleId="Sommario81">
    <w:name w:val="Sommario 81"/>
    <w:basedOn w:val="Normale"/>
    <w:next w:val="Normale"/>
    <w:pPr>
      <w:ind w:left="1680" w:firstLine="0"/>
    </w:pPr>
  </w:style>
  <w:style w:type="paragraph" w:customStyle="1" w:styleId="Sommario91">
    <w:name w:val="Sommario 91"/>
    <w:basedOn w:val="Normale"/>
    <w:next w:val="Normale"/>
    <w:pPr>
      <w:ind w:left="19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Testodelblocco1">
    <w:name w:val="Testo del blocco1"/>
    <w:basedOn w:val="Normale"/>
    <w:pPr>
      <w:spacing w:after="120"/>
      <w:ind w:left="1440" w:right="1440" w:firstLine="0"/>
    </w:pPr>
  </w:style>
  <w:style w:type="paragraph" w:customStyle="1" w:styleId="Testomacro1">
    <w:name w:val="Testo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position w:val="-1"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Titoloindice">
    <w:name w:val="index heading"/>
    <w:basedOn w:val="Normale"/>
    <w:next w:val="Indice1"/>
    <w:rPr>
      <w:rFonts w:ascii="Arial" w:hAnsi="Arial" w:cs="Arial"/>
      <w:b/>
      <w:bCs/>
    </w:rPr>
  </w:style>
  <w:style w:type="paragraph" w:customStyle="1" w:styleId="Titoloindicefonti1">
    <w:name w:val="Titolo indice fonti1"/>
    <w:basedOn w:val="Normale"/>
    <w:next w:val="Normale"/>
    <w:pPr>
      <w:spacing w:before="120"/>
    </w:pPr>
    <w:rPr>
      <w:rFonts w:ascii="Arial" w:hAnsi="Arial" w:cs="Arial"/>
      <w:b/>
      <w:bCs/>
    </w:rPr>
  </w:style>
  <w:style w:type="paragraph" w:customStyle="1" w:styleId="art">
    <w:name w:val="art"/>
    <w:basedOn w:val="Normale"/>
    <w:pPr>
      <w:pBdr>
        <w:bottom w:val="double" w:sz="1" w:space="2" w:color="808080"/>
        <w:right w:val="double" w:sz="1" w:space="2" w:color="808080"/>
      </w:pBdr>
      <w:shd w:val="clear" w:color="auto" w:fill="F5F5F5"/>
      <w:spacing w:before="316" w:after="189"/>
      <w:jc w:val="both"/>
    </w:pPr>
    <w:rPr>
      <w:rFonts w:ascii="Verdana" w:hAnsi="Verdana"/>
      <w:color w:val="000000"/>
      <w:sz w:val="18"/>
      <w:szCs w:val="18"/>
    </w:rPr>
  </w:style>
  <w:style w:type="paragraph" w:customStyle="1" w:styleId="oggetto">
    <w:name w:val="oggetto"/>
    <w:basedOn w:val="Normale"/>
    <w:pPr>
      <w:pBdr>
        <w:bottom w:val="double" w:sz="1" w:space="3" w:color="808000"/>
        <w:right w:val="double" w:sz="1" w:space="3" w:color="808000"/>
      </w:pBdr>
      <w:shd w:val="clear" w:color="auto" w:fill="FFDEAD"/>
      <w:spacing w:before="63" w:after="189"/>
      <w:jc w:val="both"/>
    </w:pPr>
    <w:rPr>
      <w:rFonts w:ascii="Verdana" w:hAnsi="Verdana"/>
      <w:color w:val="000000"/>
      <w:sz w:val="18"/>
      <w:szCs w:val="18"/>
    </w:rPr>
  </w:style>
  <w:style w:type="paragraph" w:customStyle="1" w:styleId="tit">
    <w:name w:val="tit"/>
    <w:basedOn w:val="Normale"/>
    <w:pPr>
      <w:spacing w:before="63" w:after="63"/>
    </w:pPr>
    <w:rPr>
      <w:rFonts w:ascii="Verdana" w:hAnsi="Verdana"/>
      <w:color w:val="A52A2A"/>
      <w:sz w:val="18"/>
      <w:szCs w:val="18"/>
    </w:rPr>
  </w:style>
  <w:style w:type="paragraph" w:customStyle="1" w:styleId="part">
    <w:name w:val="part"/>
    <w:basedOn w:val="Normale"/>
    <w:pPr>
      <w:spacing w:before="63" w:after="63"/>
    </w:pPr>
    <w:rPr>
      <w:rFonts w:ascii="Verdana" w:hAnsi="Verdana"/>
      <w:color w:val="905000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it/search?source=hp&amp;ei=VHCuW5G9JqjPrgSttbrIDA&amp;q=snals+cremona&amp;oq=snals+cremona&amp;gs_l=psy-ab.3..0j0i22i30k1j38.5886.9090.0.9810.15.13.0.0.0.0.516.1866.2-3j2j0j1.7.0....0...1c.1.64.psy-ab..8.6.1865.0..0i22i10i30k1.188.hTcnlULGd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bardia.cr@snal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7wXDJRo+qvzar9bf1/4aKIq9A==">AMUW2mW16SzKjOflNnIMmzpafHJnhG7D3gfFGBrSaDeJL8JfbmK3F62hSvDV+Cjbsog6UhQ0jnzeY+arTPbiOayKf1MgC/AuIWdKYQPZfmKAsvt6Ro6YHYw=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Snals Vicenza</dc:creator>
  <cp:lastModifiedBy>client5</cp:lastModifiedBy>
  <cp:revision>2</cp:revision>
  <dcterms:created xsi:type="dcterms:W3CDTF">2019-11-11T10:17:00Z</dcterms:created>
  <dcterms:modified xsi:type="dcterms:W3CDTF">2019-11-11T10:17:00Z</dcterms:modified>
</cp:coreProperties>
</file>